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pPr>
      <w:r>
        <w:rPr>
          <w:rFonts w:ascii="Aptos Display" w:hAnsi="Aptos Display"/>
          <w:b/>
          <w:color w:val="2C6E9B"/>
          <w:sz w:val="30"/>
        </w:rPr>
        <w:t>AH DES SOLUTIONS PROS</w:t>
      </w:r>
    </w:p>
    <w:p>
      <w:pPr>
        <w:pStyle w:val="Title"/>
        <w:spacing w:before="680" w:after="240"/>
      </w:pPr>
      <w:r>
        <w:t>CONDITIONS GÉNÉRALES</w:t>
        <w:br/>
        <w:t>DE VENTE ET DE RÉPARATION</w:t>
      </w:r>
    </w:p>
    <w:p>
      <w:pPr>
        <w:jc w:val="left"/>
      </w:pPr>
      <w:r>
        <w:rPr>
          <w:color w:val="5D6973"/>
          <w:sz w:val="26"/>
        </w:rPr>
        <w:t>Vente de pièces détachées automobiles • Réparation et entretien de véhicules légers</w:t>
      </w:r>
    </w:p>
    <w:p>
      <w:pPr>
        <w:spacing w:before="40" w:after="120"/>
        <w:pBdr>
          <w:bottom w:val="single" w:sz="18" w:color="17324D"/>
        </w:pBdr>
      </w:pPr>
    </w:p>
    <w:tbl>
      <w:tblPr>
        <w:tblW w:type="auto" w:w="0"/>
        <w:jc w:val="left"/>
        <w:tblLayout w:type="fixed"/>
        <w:tblLook w:firstColumn="1" w:firstRow="1" w:lastColumn="0" w:lastRow="0" w:noHBand="0" w:noVBand="1" w:val="04A0"/>
      </w:tblPr>
      <w:tblGrid>
        <w:gridCol w:w="2438"/>
        <w:gridCol w:w="7200"/>
      </w:tblGrid>
      <w:tr>
        <w:trPr>
          <w:cantSplit/>
        </w:trPr>
        <w:tc>
          <w:tcPr>
            <w:tcW w:type="dxa" w:w="4933"/>
            <w:vAlign w:val="center"/>
            <w:shd w:fill="EAF1F6"/>
            <w:tcBorders>
              <w:bottom w:val="single" w:sz="4" w:color="CBD7DF"/>
            </w:tcBorders>
          </w:tcPr>
          <w:p>
            <w:r>
              <w:rPr>
                <w:rFonts w:ascii="Aptos" w:hAnsi="Aptos"/>
                <w:b/>
                <w:color w:val="17324D"/>
                <w:sz w:val="17"/>
              </w:rPr>
              <w:t>Exploitant</w:t>
            </w:r>
          </w:p>
        </w:tc>
        <w:tc>
          <w:tcPr>
            <w:tcW w:type="dxa" w:w="4933"/>
            <w:vAlign w:val="center"/>
            <w:tcBorders>
              <w:bottom w:val="single" w:sz="4" w:color="CBD7DF"/>
            </w:tcBorders>
          </w:tcPr>
          <w:p>
            <w:r>
              <w:rPr>
                <w:rFonts w:ascii="Aptos" w:hAnsi="Aptos"/>
                <w:sz w:val="17"/>
              </w:rPr>
              <w:t>AH DES SOLUTIONS PROS – SARL au capital de 130 000 €</w:t>
            </w:r>
          </w:p>
        </w:tc>
      </w:tr>
      <w:tr>
        <w:trPr>
          <w:cantSplit/>
        </w:trPr>
        <w:tc>
          <w:tcPr>
            <w:tcW w:type="dxa" w:w="4933"/>
            <w:vAlign w:val="center"/>
            <w:shd w:fill="EAF1F6"/>
            <w:tcBorders>
              <w:bottom w:val="single" w:sz="4" w:color="CBD7DF"/>
            </w:tcBorders>
          </w:tcPr>
          <w:p>
            <w:r>
              <w:rPr>
                <w:rFonts w:ascii="Aptos" w:hAnsi="Aptos"/>
                <w:b/>
                <w:color w:val="17324D"/>
                <w:sz w:val="17"/>
              </w:rPr>
              <w:t>Adresse</w:t>
            </w:r>
          </w:p>
        </w:tc>
        <w:tc>
          <w:tcPr>
            <w:tcW w:type="dxa" w:w="4933"/>
            <w:vAlign w:val="center"/>
            <w:tcBorders>
              <w:bottom w:val="single" w:sz="4" w:color="CBD7DF"/>
            </w:tcBorders>
          </w:tcPr>
          <w:p>
            <w:r>
              <w:rPr>
                <w:rFonts w:ascii="Aptos" w:hAnsi="Aptos"/>
                <w:sz w:val="17"/>
              </w:rPr>
              <w:t>150 allée de Chagneau – 33460 Arsac</w:t>
            </w:r>
          </w:p>
        </w:tc>
      </w:tr>
      <w:tr>
        <w:trPr>
          <w:cantSplit/>
        </w:trPr>
        <w:tc>
          <w:tcPr>
            <w:tcW w:type="dxa" w:w="4933"/>
            <w:vAlign w:val="center"/>
            <w:shd w:fill="EAF1F6"/>
            <w:tcBorders>
              <w:bottom w:val="single" w:sz="4" w:color="CBD7DF"/>
            </w:tcBorders>
          </w:tcPr>
          <w:p>
            <w:r>
              <w:rPr>
                <w:rFonts w:ascii="Aptos" w:hAnsi="Aptos"/>
                <w:b/>
                <w:color w:val="17324D"/>
                <w:sz w:val="17"/>
              </w:rPr>
              <w:t>Immatriculation</w:t>
            </w:r>
          </w:p>
        </w:tc>
        <w:tc>
          <w:tcPr>
            <w:tcW w:type="dxa" w:w="4933"/>
            <w:vAlign w:val="center"/>
            <w:tcBorders>
              <w:bottom w:val="single" w:sz="4" w:color="CBD7DF"/>
            </w:tcBorders>
          </w:tcPr>
          <w:p>
            <w:r>
              <w:rPr>
                <w:rFonts w:ascii="Aptos" w:hAnsi="Aptos"/>
                <w:sz w:val="17"/>
              </w:rPr>
              <w:t>SIREN 752 482 216 – SIRET 752 482 216 00039 – RCS Bordeaux</w:t>
            </w:r>
          </w:p>
        </w:tc>
      </w:tr>
      <w:tr>
        <w:trPr>
          <w:cantSplit/>
        </w:trPr>
        <w:tc>
          <w:tcPr>
            <w:tcW w:type="dxa" w:w="4933"/>
            <w:vAlign w:val="center"/>
            <w:shd w:fill="EAF1F6"/>
            <w:tcBorders>
              <w:bottom w:val="single" w:sz="4" w:color="CBD7DF"/>
            </w:tcBorders>
          </w:tcPr>
          <w:p>
            <w:r>
              <w:rPr>
                <w:rFonts w:ascii="Aptos" w:hAnsi="Aptos"/>
                <w:b/>
                <w:color w:val="17324D"/>
                <w:sz w:val="17"/>
              </w:rPr>
              <w:t>Contact</w:t>
            </w:r>
          </w:p>
        </w:tc>
        <w:tc>
          <w:tcPr>
            <w:tcW w:type="dxa" w:w="4933"/>
            <w:vAlign w:val="center"/>
            <w:tcBorders>
              <w:bottom w:val="single" w:sz="4" w:color="CBD7DF"/>
            </w:tcBorders>
          </w:tcPr>
          <w:p>
            <w:r>
              <w:rPr>
                <w:rFonts w:ascii="Aptos" w:hAnsi="Aptos"/>
                <w:sz w:val="17"/>
              </w:rPr>
              <w:t>06 41 06 63 49 – adessolutionspro@gmail.com</w:t>
            </w:r>
          </w:p>
        </w:tc>
      </w:tr>
      <w:tr>
        <w:trPr>
          <w:cantSplit/>
        </w:trPr>
        <w:tc>
          <w:tcPr>
            <w:tcW w:type="dxa" w:w="4933"/>
            <w:vAlign w:val="center"/>
            <w:shd w:fill="EAF1F6"/>
            <w:tcBorders>
              <w:bottom w:val="single" w:sz="4" w:color="CBD7DF"/>
            </w:tcBorders>
          </w:tcPr>
          <w:p>
            <w:r>
              <w:rPr>
                <w:rFonts w:ascii="Aptos" w:hAnsi="Aptos"/>
                <w:b/>
                <w:color w:val="17324D"/>
                <w:sz w:val="17"/>
              </w:rPr>
              <w:t>TVA intracommunautaire</w:t>
            </w:r>
          </w:p>
        </w:tc>
        <w:tc>
          <w:tcPr>
            <w:tcW w:type="dxa" w:w="4933"/>
            <w:vAlign w:val="center"/>
            <w:tcBorders>
              <w:bottom w:val="single" w:sz="4" w:color="CBD7DF"/>
            </w:tcBorders>
          </w:tcPr>
          <w:p>
            <w:r>
              <w:rPr>
                <w:rFonts w:ascii="Aptos" w:hAnsi="Aptos"/>
                <w:sz w:val="17"/>
              </w:rPr>
              <w:t>FR95752482216</w:t>
            </w:r>
          </w:p>
        </w:tc>
      </w:tr>
    </w:tbl>
    <w:p/>
    <w:tbl>
      <w:tblPr>
        <w:tblW w:type="auto" w:w="0"/>
        <w:jc w:val="center"/>
        <w:tblLayout w:type="autofit"/>
        <w:tblLook w:firstColumn="1" w:firstRow="1" w:lastColumn="0" w:lastRow="0" w:noHBand="0" w:noVBand="1" w:val="04A0"/>
      </w:tblPr>
      <w:tblGrid>
        <w:gridCol w:w="9866"/>
      </w:tblGrid>
      <w:tr>
        <w:trPr>
          <w:cantSplit/>
        </w:trPr>
        <w:tc>
          <w:tcPr>
            <w:tcW w:type="dxa" w:w="9866"/>
            <w:shd w:fill="FBEAEA"/>
            <w:tcBorders>
              <w:top w:val="single" w:sz="10" w:color="B33A3A"/>
              <w:left w:val="single" w:sz="10" w:color="B33A3A"/>
              <w:bottom w:val="single" w:sz="10" w:color="B33A3A"/>
              <w:right w:val="single" w:sz="10" w:color="B33A3A"/>
            </w:tcBorders>
            <w:vAlign w:val="center"/>
          </w:tcPr>
          <w:p>
            <w:pPr>
              <w:spacing w:after="60"/>
            </w:pPr>
            <w:r>
              <w:rPr>
                <w:rFonts w:ascii="Aptos" w:hAnsi="Aptos"/>
                <w:b/>
                <w:color w:val="B33A3A"/>
                <w:sz w:val="17"/>
              </w:rPr>
              <w:t>MISE EN SERVICE DU DOCUMENT</w:t>
            </w:r>
          </w:p>
          <w:p>
            <w:pPr>
              <w:spacing w:after="20"/>
            </w:pPr>
            <w:r>
              <w:rPr>
                <w:rFonts w:ascii="Aptos" w:hAnsi="Aptos"/>
                <w:sz w:val="17"/>
              </w:rPr>
              <w:t>Avant diffusion aux consommateurs, AH DES SOLUTIONS PROS doit adhérer à un médiateur de la consommation référencé et remplacer la mention provisoire de l’article 27 par ses coordonnées exactes. En l’état, le document ne doit pas être considéré comme définitivement complet sur ce point.</w:t>
            </w:r>
          </w:p>
        </w:tc>
      </w:tr>
    </w:tbl>
    <w:p>
      <w:pPr>
        <w:spacing w:before="360"/>
      </w:pPr>
      <w:r>
        <w:rPr>
          <w:b/>
          <w:color w:val="17324D"/>
        </w:rPr>
        <w:t>Version 2 applicable à compter du 28 août 2026</w:t>
      </w:r>
    </w:p>
    <w:p>
      <w:r>
        <w:t>Document à remettre ou rendre accessible au client avant la conclusion du contrat. Les conditions particulières figurant sur le devis, l’ordre de réparation, le bon de commande ou la facture prévalent en cas de contradiction expressément acceptée.</w:t>
      </w:r>
    </w:p>
    <w:p>
      <w:r>
        <w:br w:type="page"/>
      </w:r>
    </w:p>
    <w:p>
      <w:pPr>
        <w:pStyle w:val="Heading1"/>
      </w:pPr>
      <w:r>
        <w:t>I. DISPOSITIONS COMMUNES</w:t>
      </w:r>
    </w:p>
    <w:p>
      <w:pPr>
        <w:spacing w:before="40" w:after="120"/>
        <w:pBdr>
          <w:bottom w:val="single" w:sz="8" w:color="2C6E9B"/>
        </w:pBdr>
      </w:pPr>
    </w:p>
    <w:p>
      <w:pPr>
        <w:pStyle w:val="Heading2"/>
      </w:pPr>
      <w:r>
        <w:t>1. Objet et champ d’application</w:t>
      </w:r>
    </w:p>
    <w:p>
      <w:r>
        <w:t>Les présentes conditions générales de vente et de réparation (« CGV-CGR ») régissent les ventes de pièces détachées automobiles ainsi que les prestations de diagnostic, entretien, réparation, carrosserie et opérations connexes réalisées par AH DES SOLUTIONS PROS (« le Garage ») sur les véhicules légers.</w:t>
      </w:r>
    </w:p>
    <w:p>
      <w:r>
        <w:t>Elles s’appliquent aux consommateurs et aux clients professionnels. Les clauses identifiées comme propres aux consommateurs ou aux professionnels ne s’appliquent qu’à la catégorie concernée. Est consommateur toute personne physique agissant à des fins n’entrant pas dans le cadre de son activité professionnelle.</w:t>
      </w:r>
    </w:p>
    <w:p>
      <w:r>
        <w:t>Toute commande implique l’acceptation des présentes CGV-CGR, remises ou mises à disposition avant l’engagement du Client. Les conditions particulières acceptées par écrit complètent les présentes conditions.</w:t>
      </w:r>
    </w:p>
    <w:p>
      <w:pPr>
        <w:pStyle w:val="Heading2"/>
      </w:pPr>
      <w:r>
        <w:t>2. Informations relatives au Garage</w:t>
      </w:r>
    </w:p>
    <w:p>
      <w:r>
        <w:t>AH DES SOLUTIONS PROS, société à responsabilité limitée au capital de 130 000 €, sise 150 allée de Chagneau, 33460 Arsac, immatriculée au RCS de Bordeaux sous le numéro 752 482 216, SIRET 752 482 216 00039, TVA intracommunautaire FR95752482216.</w:t>
      </w:r>
    </w:p>
    <w:p>
      <w:r>
        <w:t>Téléphone : 06 41 06 63 49. Courriel : adessolutionspro@gmail.com.</w:t>
      </w:r>
    </w:p>
    <w:p>
      <w:r>
        <w:t>Responsabilité civile professionnelle : Generali IARD, 89 rue Taitbout, 75009 Paris. Couverture géographique : France métropolitaine, dans les limites et conditions du contrat d’assurance en vigueur. Une attestation peut être communiquée sur demande.</w:t>
      </w:r>
    </w:p>
    <w:p>
      <w:pPr>
        <w:pStyle w:val="Heading2"/>
      </w:pPr>
      <w:r>
        <w:t>3. Documents contractuels et preuve de l’accord</w:t>
      </w:r>
    </w:p>
    <w:p>
      <w:r>
        <w:t>Le contrat est formé par l’acceptation du devis, de l’ordre de réparation, du bon de commande ou de toute proposition écrite du Garage. L’accord peut être donné par signature manuscrite ou électronique, courriel, message écrit ou tout autre procédé permettant d’en conserver la preuve.</w:t>
      </w:r>
    </w:p>
    <w:p>
      <w:r>
        <w:t>Les indications publicitaires, catalogues, photographies, références et disponibilités sont informatives. Seuls les éléments expressément repris dans le document contractuel engagent le Garage.</w:t>
      </w:r>
    </w:p>
    <w:p>
      <w:r>
        <w:t>Le Client doit fournir des renseignements exacts concernant son identité, son véhicule, son usage, ses symptômes, les interventions antérieures et toute modification connue susceptible d’influer sur le diagnostic, la sécurité ou la compatibilité des pièces.</w:t>
      </w:r>
    </w:p>
    <w:p>
      <w:r>
        <w:t>Afin d’établir l’état d’entrée, de documenter les défauts, les opérations et les essais, le Garage peut réaliser et conserver des photographies, vidéos, relevés de diagnostic, mesures et comptes rendus concernant le véhicule. Ces éléments sont utilisés comme preuve technique et contractuelle ; aucune utilisation publicitaire permettant d’identifier le Client ou son véhicule n’est faite sans consentement distinct.</w:t>
      </w:r>
    </w:p>
    <w:p>
      <w:pPr>
        <w:pStyle w:val="Heading2"/>
      </w:pPr>
      <w:r>
        <w:t>4. Prix, taxes et devis</w:t>
      </w:r>
    </w:p>
    <w:p>
      <w:r>
        <w:t>Les prix applicables sont ceux indiqués sur le devis, l’ordre de réparation, le bon de commande, l’affichage en vigueur ou, à défaut, ceux résultant du tarif du Garage au jour de la commande. Ils sont exprimés en euros HT et TTC pour les consommateurs et, sauf mention contraire, en euros HT pour les professionnels.</w:t>
      </w:r>
    </w:p>
    <w:p>
      <w:r>
        <w:t>Sauf durée différente indiquée, un devis est valable trente jours à compter de son émission. Après ce délai, le Garage peut actualiser le prix, notamment en cas de variation du coût ou de la disponibilité des pièces.</w:t>
      </w:r>
    </w:p>
    <w:p>
      <w:r>
        <w:t>Les frais de démontage, recherche de panne, diagnostic, remontage, essais, consommables, recyclage, livraison, déplacement, gardiennage ou prestation d’un tiers sont facturés lorsqu’ils sont prévus au devis, à l’ordre de réparation, au tarif affiché ou acceptés par le Client.</w:t>
      </w:r>
    </w:p>
    <w:p>
      <w:pPr>
        <w:pStyle w:val="Heading2"/>
      </w:pPr>
      <w:r>
        <w:t>5. Paiement et préautorisation bancaire</w:t>
      </w:r>
    </w:p>
    <w:p>
      <w:r>
        <w:t>Sauf condition particulière écrite, le paiement est comptant et intégral lors de la remise des pièces ou, pour une réparation, avant la restitution du véhicule. Les moyens de paiement acceptés sont ceux affichés ou indiqués par le Garage.</w:t>
      </w:r>
    </w:p>
    <w:p>
      <w:r>
        <w:t>Pour tout devis d’un montant supérieur à 1 000 € TTC, le Garage peut exiger une préautorisation par carte bancaire pouvant atteindre la totalité du montant TTC du devis. Cette empreinte constitue une garantie de paiement : elle n’est ni un débit, ni un acompte. Son acceptation, son montant, sa durée et sa libération dépendent également de la banque et du réseau de carte du Client. En cas d’impossibilité ou de refus de préautorisation, le Garage peut demander un autre moyen de garantie ou ne pas commencer les travaux.</w:t>
      </w:r>
    </w:p>
    <w:p>
      <w:r>
        <w:t>Un acompte distinct peut être demandé lorsqu’il est expressément mentionné sur le devis ou le bon de commande, notamment pour les pièces commandées spécialement. En cas d’annulation imputable au Client hors exercice valable d’un droit légal de rétractation, restent dus les prestations déjà exécutées, les démontages et remontages autorisés, ainsi que les pièces spécialement commandées qui ne peuvent être retournées au fournisseur, sous déduction des coûts évités par le Garage.</w:t>
      </w:r>
    </w:p>
    <w:p>
      <w:pPr>
        <w:pStyle w:val="Heading2"/>
      </w:pPr>
      <w:r>
        <w:t>6. Retard de paiement des clients professionnels</w:t>
      </w:r>
    </w:p>
    <w:p>
      <w:r>
        <w:t>Toute somme non payée à l’échéance par un Client professionnel porte, de plein droit et sans rappel, intérêt au taux appliqué par la Banque centrale européenne à son opération de refinancement la plus récente, majoré de dix points de pourcentage, sans pouvoir être inférieur au minimum légal.</w:t>
      </w:r>
    </w:p>
    <w:p>
      <w:r>
        <w:t>Une indemnité forfaitaire de 40 € pour frais de recouvrement est également due de plein droit. Lorsque les frais exposés sont supérieurs, une indemnisation complémentaire peut être demandée sur justification. Aucun escompte n’est accordé pour paiement anticipé, sauf accord écrit.</w:t>
      </w:r>
    </w:p>
    <w:p>
      <w:pPr>
        <w:pStyle w:val="Heading1"/>
      </w:pPr>
      <w:r>
        <w:t>II. PRESTATIONS DE DIAGNOSTIC ET DE RÉPARATION</w:t>
      </w:r>
    </w:p>
    <w:p>
      <w:pPr>
        <w:spacing w:before="40" w:after="120"/>
        <w:pBdr>
          <w:bottom w:val="single" w:sz="8" w:color="2C6E9B"/>
        </w:pBdr>
      </w:pPr>
    </w:p>
    <w:p>
      <w:pPr>
        <w:pStyle w:val="Heading2"/>
      </w:pPr>
      <w:r>
        <w:t>7. Dépôt du véhicule et ordre de réparation</w:t>
      </w:r>
    </w:p>
    <w:p>
      <w:r>
        <w:t>Avant intervention, un ordre de réparation ou un devis décrit, dans la mesure possible, la demande du Client, les symptômes signalés, le véhicule confié, son kilométrage, son niveau de carburant, son état apparent, les travaux commandés, le coût estimatif et le délai indicatif d’immobilisation.</w:t>
      </w:r>
    </w:p>
    <w:p>
      <w:r>
        <w:t>Le Client retire du véhicule ses objets personnels, espèces, documents et objets de valeur. Le Garage ne répond pas de la disparition d’objets non confiés expressément contre récépissé, sauf faute qui lui serait imputable.</w:t>
      </w:r>
    </w:p>
    <w:p>
      <w:r>
        <w:t>Le Client autorise les déplacements strictement nécessaires dans l’atelier, sur parc et sur route pour les contrôles, essais, calibrations, régénérations ou vérifications techniques.</w:t>
      </w:r>
    </w:p>
    <w:p>
      <w:r>
        <w:t>L’état d’entrée mentionné sur l’ordre de réparation et, le cas échéant, les photographies prises lors du dépôt font foi jusqu’à preuve contraire. Toute anomalie non visible sans démontage, nettoyage ou mise en fonctionnement peut faire l’objet d’une réserve complémentaire communiquée au Client.</w:t>
      </w:r>
    </w:p>
    <w:p>
      <w:pPr>
        <w:pStyle w:val="Heading2"/>
      </w:pPr>
      <w:r>
        <w:t>8. Diagnostic et établissement du devis</w:t>
      </w:r>
    </w:p>
    <w:p>
      <w:r>
        <w:t>La première heure de diagnostic est facturée sous la forme d’un forfait indivisible de 60 € HT, soit 72 € TTC au taux de TVA en vigueur. Ce forfait comprend la prise en charge technique, les opérations de recherche de panne réalisées pendant cette première heure et l’établissement du devis ou du compte rendu.</w:t>
      </w:r>
    </w:p>
    <w:p>
      <w:r>
        <w:t>Les recherches de panne complexes ou nécessitant un démontage sont classées en technicité T2 et facturées au temps réellement passé sur la base de 90 € HT, soit 108 € TTC par heure. Avant de poursuivre en T2, le Garage informe le Client de la nature prévisible des recherches, du taux applicable et, dans la mesure possible, du temps estimé, puis recueille son accord sur un support permettant d’en conserver la preuve. Les temps T2 s’ajoutent au forfait initial lorsqu’ils excèdent ou ne relèvent pas des opérations comprises dans celui-ci.</w:t>
      </w:r>
    </w:p>
    <w:p>
      <w:r>
        <w:t>Un démontage de diagnostic peut révéler l’impossibilité d’établir immédiatement un devis définitif, rendre temporairement le véhicule non roulant ou nécessiter des pièces, fluides, joints et opérations de remontage. Ces conséquences et leurs coûts prévisibles sont portés à la connaissance du Client avant le démontage lorsqu’ils peuvent être raisonnablement anticipés.</w:t>
      </w:r>
    </w:p>
    <w:p>
      <w:r>
        <w:t>Les sommes correspondant à la prise en charge, au diagnostic, aux démontages autorisés et à l’établissement du devis restent dues que le Client accepte ou refuse les réparations proposées. Le diagnostic constitue une prestation distincte et progressive : le paiement d’un temps de recherche ne garantit pas qu’une cause unique et certaine puisse être identifiée dans ce temps, notamment en présence d’une panne intermittente, de plusieurs défauts ou d’un véhicule modifié. Le Garage rend compte des contrôles accomplis et propose, si nécessaire, une étape complémentaire soumise à accord.</w:t>
      </w:r>
    </w:p>
    <w:p>
      <w:pPr>
        <w:pStyle w:val="Heading2"/>
      </w:pPr>
      <w:r>
        <w:t>9. Autorisation des travaux et travaux supplémentaires</w:t>
      </w:r>
    </w:p>
    <w:p>
      <w:r>
        <w:t>Le Garage n’exécute que les travaux commandés. Toute prestation supplémentaire révélée nécessaire après démontage ou diagnostic fait l’objet d’une information et d’un accord préalable du Client sur sa nature et, dans la mesure possible, sur son prix et son incidence sur le délai.</w:t>
      </w:r>
    </w:p>
    <w:p>
      <w:r>
        <w:t>Si le Client demeure injoignable, les travaux supplémentaires sont suspendus. Le Garage peut néanmoins prendre les seules mesures conservatoires raisonnablement nécessaires pour éviter un danger immédiat ou une aggravation manifeste, et en informe le Client dès que possible.</w:t>
      </w:r>
    </w:p>
    <w:p>
      <w:r>
        <w:t>Toute autorisation donnée par téléphone est confirmée, dans la mesure du possible, par un courriel, un SMS, une signature ou une mention horodatée retraçant l’identité de l’interlocuteur, la nature des travaux et le montant accepté.</w:t>
      </w:r>
    </w:p>
    <w:p>
      <w:r>
        <w:t>Le refus de travaux conseillés, notamment lorsqu’ils concernent la sécurité, est mentionné sur l’ordre de réparation, le devis, la facture ou un document de restitution. Lorsque l’utilisation immédiate du véhicule présenterait un danger manifeste, le Garage en informe le Client par écrit et peut exiger un enlèvement par plateau ou tout moyen adapté. Le Client qui impose néanmoins un autre mode d’enlèvement en assume les conséquences qui ne sont pas imputables au Garage, sans que cette mention puisse exonérer le Garage de ses propres fautes.</w:t>
      </w:r>
    </w:p>
    <w:p>
      <w:pPr>
        <w:pStyle w:val="Heading2"/>
      </w:pPr>
      <w:r>
        <w:t>10. Pièces utilisées et pièces issues de l’économie circulaire</w:t>
      </w:r>
    </w:p>
    <w:p>
      <w:r>
        <w:t>Sauf choix ou accord différent, le Garage fournit les pièces nécessaires. Leur nature est précisée : neuves, d’occasion, reconditionnées, en échange standard ou issues de l’économie circulaire.</w:t>
      </w:r>
    </w:p>
    <w:p>
      <w:r>
        <w:t>Dans les cas prévus par le Code de la consommation, le consommateur est informé de sa possibilité d’opter pour certaines pièces issues de l’économie circulaire à la place de pièces neuves. Ce choix est recueilli sur support durable. Cette possibilité peut être écartée notamment en cas d’indisponibilité dans un délai compatible avec l’immobilisation prévue, de risque important pour l’environnement, la santé ou la sécurité routière, d’opération gratuite, de garantie contractuelle ou de rappel.</w:t>
      </w:r>
    </w:p>
    <w:p>
      <w:r>
        <w:t>Les pièces faisant l’objet d’une consigne sont facturées ou garanties selon les conditions du fournisseur. Le remboursement de la consigne suppose la restitution, dans les délais et l’état exigés, de la pièce déposée.</w:t>
      </w:r>
    </w:p>
    <w:p>
      <w:pPr>
        <w:pStyle w:val="Heading2"/>
      </w:pPr>
      <w:r>
        <w:t>11. Pièces fournies par le Client</w:t>
      </w:r>
    </w:p>
    <w:p>
      <w:r>
        <w:t>Le Garage refuse par principe le montage de pièces fournies par le Client. Une dérogation ne peut résulter que d’un accord écrit préalable du Garage, qui demeure libre de la refuser, notamment pour des raisons de sécurité, de traçabilité, de conformité, de compatibilité ou d’organisation.</w:t>
      </w:r>
    </w:p>
    <w:p>
      <w:r>
        <w:t>En cas d’acceptation exceptionnelle, le Client reste responsable du choix et de la provenance de la pièce. Le Garage ne fournit aucune garantie commerciale sur sa qualité, son authenticité, sa conformité, sa compatibilité, sa durabilité ou son bon fonctionnement. La responsabilité du Garage demeure limitée à la bonne exécution du montage et à ses obligations légales propres ; aucune clause ne peut exclure sa responsabilité en cas de faute de montage ou de manquement à son devoir de conseil.</w:t>
      </w:r>
    </w:p>
    <w:p>
      <w:r>
        <w:t>Les contrôles, adaptations, démontages, remontages, immobilisations ou recherches supplémentaires rendus nécessaires par une pièce incorrecte, incomplète, défectueuse ou inadaptée sont facturés au Client après information et accord lorsque celui-ci est requis.</w:t>
      </w:r>
    </w:p>
    <w:p>
      <w:pPr>
        <w:pStyle w:val="Heading2"/>
      </w:pPr>
      <w:r>
        <w:t>12. Délais et immobilisation</w:t>
      </w:r>
    </w:p>
    <w:p>
      <w:r>
        <w:t>Les dates de disponibilité et délais de réparation sont indiqués aussi précisément que possible. Sauf engagement exprès qualifié de ferme, ils peuvent être ajustés en cas de diagnostic évolutif, travaux supplémentaires autorisés, indisponibilité de pièces, retard de fournisseur, intervention d’un tiers, événement de force majeure ou circonstance indépendante du Garage.</w:t>
      </w:r>
    </w:p>
    <w:p>
      <w:r>
        <w:t>Le Garage informe le Client d’un retard significatif. Les droits impératifs du consommateur en cas de dépassement d’un délai convenu demeurent réservés.</w:t>
      </w:r>
    </w:p>
    <w:p>
      <w:pPr>
        <w:pStyle w:val="Heading2"/>
      </w:pPr>
      <w:r>
        <w:t>13. Restitution des pièces remplacées</w:t>
      </w:r>
    </w:p>
    <w:p>
      <w:r>
        <w:t>Le Client qui souhaite récupérer les pièces déposées doit le demander avant le début de l’intervention. À défaut, elles sont réputées abandonnées au Garage afin d’être triées et dirigées vers les filières de collecte, réemploi, recyclage ou traitement appropriées.</w:t>
      </w:r>
    </w:p>
    <w:p>
      <w:r>
        <w:t>Ne peuvent être restituées les pièces faisant l’objet d’une consigne, d’un échange standard, d’une prise en garantie, d’une expertise, d’une obligation réglementaire de traitement ou appartenant à un tiers.</w:t>
      </w:r>
    </w:p>
    <w:p>
      <w:pPr>
        <w:pStyle w:val="Heading1"/>
      </w:pPr>
      <w:r>
        <w:t>III. RESTITUTION, GARANTIES ET RESPONSABILITÉS</w:t>
      </w:r>
    </w:p>
    <w:p>
      <w:pPr>
        <w:spacing w:before="40" w:after="120"/>
        <w:pBdr>
          <w:bottom w:val="single" w:sz="8" w:color="2C6E9B"/>
        </w:pBdr>
      </w:pPr>
    </w:p>
    <w:p>
      <w:pPr>
        <w:pStyle w:val="Heading2"/>
      </w:pPr>
      <w:r>
        <w:t>14. Achèvement, décision sur devis, retrait et gardiennage</w:t>
      </w:r>
    </w:p>
    <w:p>
      <w:r>
        <w:t>Le Client est informé par téléphone, SMS ou courriel de la transmission du devis, de la disponibilité du véhicule, de la fin des travaux, ou de la nécessité de le retirer après refus, annulation ou interruption des réparations. Le Garage conserve la preuve de la date et du mode de cette information. Le solde est payable avant restitution.</w:t>
      </w:r>
    </w:p>
    <w:p>
      <w:r>
        <w:t>Lorsqu’un véhicule reste déposé au Garage dans l’attente d’une décision sur un devis, l’absence de réponse ne vaut pas acceptation des travaux. Le Client dispose de sept jours calendaires à compter de la première présentation du devis ou de la notification l’invitant à se prononcer pour accepter ou refuser le devis et, en cas de refus, organiser le retrait du véhicule.</w:t>
      </w:r>
    </w:p>
    <w:p>
      <w:r>
        <w:t>Après achèvement des travaux, ou après refus, annulation ou interruption rendant le véhicule disponible, le Client dispose également de sept jours calendaires à compter de la notification de disponibilité pour retirer le véhicule.</w:t>
      </w:r>
    </w:p>
    <w:p>
      <w:r>
        <w:t>À compter du huitième jour calendaire suivant la notification applicable, des frais de gardiennage de 15 € HT, soit 18 € TTC par jour calendaire commencé, sont dus jusqu’au retrait effectif. Leur perception suppose que le tarif et les événements déclencheurs aient été portés à la connaissance du Client avant le dépôt ou acceptés dans le document contractuel. Ces frais sont distincts du prix des travaux, du diagnostic, des pièces et des mesures nécessaires à la conservation du véhicule.</w:t>
      </w:r>
    </w:p>
    <w:p>
      <w:r>
        <w:t>Conformément à l’article 2286 du Code civil, le Garage peut exercer son droit de rétention sur le véhicule qui lui a été remis jusqu’au paiement intégral des créances certaines, liquides et exigibles nées à l’occasion de sa détention, sous réserve des dispositions impératives applicables.</w:t>
      </w:r>
    </w:p>
    <w:p>
      <w:pPr>
        <w:pStyle w:val="Heading2"/>
      </w:pPr>
      <w:r>
        <w:t>15. Véhicule non retiré</w:t>
      </w:r>
    </w:p>
    <w:p>
      <w:r>
        <w:t>En cas de non-retrait persistant, le Garage adresse au Client une mise en demeure de payer et d’enlever le véhicule. Les frais nécessaires à sa conservation et aux démarches légalement engagées restent à la charge du Client dans les limites autorisées par la loi.</w:t>
      </w:r>
    </w:p>
    <w:p>
      <w:r>
        <w:t>Le Garage ne devient pas propriétaire du véhicule du seul fait de son abandon apparent. Toute procédure de vente, destruction, déplacement ou traitement d’un véhicule non retiré est conduite conformément aux textes applicables et après les formalités requises.</w:t>
      </w:r>
    </w:p>
    <w:p>
      <w:pPr>
        <w:pStyle w:val="Heading2"/>
      </w:pPr>
      <w:r>
        <w:t>16. Conformité des prestations et réclamations</w:t>
      </w:r>
    </w:p>
    <w:p>
      <w:r>
        <w:t>Le Garage exécute les prestations commandées selon les règles de l’art et répond des défauts d’exécution qui lui sont imputables. Aucune stipulation ne limite les droits légaux du consommateur ni la responsabilité qui ne peut légalement être exclue.</w:t>
      </w:r>
    </w:p>
    <w:p>
      <w:r>
        <w:t>Toute réclamation doit décrire le défaut et être accompagnée de la facture. Le Client est invité à cesser d’utiliser le véhicule si la poursuite de la circulation risque d’aggraver le dommage ou de compromettre la sécurité, puis à permettre au Garage d’examiner le véhicule avant toute intervention d’un tiers, sauf urgence démontrée.</w:t>
      </w:r>
    </w:p>
    <w:p>
      <w:r>
        <w:t>La prise en charge ne couvre pas les pannes ou dommages sans lien causal avec les travaux réalisés, l’usure normale, une mauvaise utilisation, un défaut d’entretien, une modification ultérieure, un accident, une intervention d’un tiers ou la défaillance d’un organe non remplacé, sous réserve de la preuve et des règles légales applicables.</w:t>
      </w:r>
    </w:p>
    <w:p>
      <w:r>
        <w:t>En cas de contestation technique, les parties privilégient un examen contradictoire avant modification ou destruction des éléments litigieux. Sauf urgence ou refus injustifié du Garage, les frais d’une intervention commandée unilatéralement à un tiers ne sont remboursables que dans les conditions prévues par la loi et après démonstration de leur nécessité et de leur lien avec un manquement imputable au Garage.</w:t>
      </w:r>
    </w:p>
    <w:p>
      <w:pPr>
        <w:pStyle w:val="Heading2"/>
      </w:pPr>
      <w:r>
        <w:t>17. Garanties sur les pièces montées</w:t>
      </w:r>
    </w:p>
    <w:p>
      <w:r>
        <w:t>Les pièces fournies et vendues par le Garage bénéficient des garanties légales applicables. Toute garantie commerciale ou constructeur éventuellement proposée est décrite sur la facture, le devis ou les documents du garant ; elle s’ajoute aux garanties légales sans les remplacer.</w:t>
      </w:r>
    </w:p>
    <w:p>
      <w:r>
        <w:t>Lorsqu’une garantie fournisseur exige le retour de la pièce pour expertise, le Client accepte que celle-ci soit transmise. Le résultat de l’expertise du fournisseur ne prive pas le consommateur de ses droits à l’égard du Garage lorsque celui-ci est légalement garant.</w:t>
      </w:r>
    </w:p>
    <w:p>
      <w:pPr>
        <w:pStyle w:val="Heading2"/>
      </w:pPr>
      <w:r>
        <w:t>18. Responsabilité du Client et limitation entre professionnels</w:t>
      </w:r>
    </w:p>
    <w:p>
      <w:r>
        <w:t>Le Client garantit qu’il est propriétaire du véhicule ou autorisé à commander les prestations. Il répond des dommages causés par des renseignements inexacts, une modification non déclarée, un vice dissimulé, un carburant ou fluide inadapté, une utilisation contraire aux avertissements ou un refus de réparation clairement conseillé, sans préjudice de la responsabilité propre du Garage.</w:t>
      </w:r>
    </w:p>
    <w:p>
      <w:r>
        <w:t>Le Client veille à disposer d’une assurance et des documents permettant la circulation du véhicule. Il récupère le véhicule avec un niveau de carburant pouvant différer légèrement en raison des essais nécessaires.</w:t>
      </w:r>
    </w:p>
    <w:p>
      <w:r>
        <w:t>Entre professionnels uniquement, et sauf dol, faute lourde, atteinte corporelle, manquement à une obligation essentielle ou autre responsabilité ne pouvant être limitée, le Garage ne répond pas des dommages indirects tels que perte d’exploitation, perte de chiffre d’affaires, perte de contrat ou immobilisation d’une flotte. Pour les dommages directs prouvés, sa responsabilité contractuelle est limitée au montant HT de la prestation ou de la vente à l’origine du dommage. Cette limitation ne s’applique pas au Client consommateur.</w:t>
      </w:r>
    </w:p>
    <w:p>
      <w:pPr>
        <w:pStyle w:val="Heading2"/>
      </w:pPr>
      <w:r>
        <w:t>19. Force majeure</w:t>
      </w:r>
    </w:p>
    <w:p>
      <w:r>
        <w:t>Aucune partie n’est responsable d’un retard ou d’une inexécution directement causé par un événement répondant aux critères légaux de la force majeure. La partie empêchée informe l’autre dans les meilleurs délais. Si l’empêchement se prolonge, chaque partie peut exercer les droits que lui reconnaît la loi.</w:t>
      </w:r>
    </w:p>
    <w:p>
      <w:pPr>
        <w:pStyle w:val="Heading1"/>
      </w:pPr>
      <w:r>
        <w:t>IV. VENTE DE PIÈCES DÉTACHÉES</w:t>
      </w:r>
    </w:p>
    <w:p>
      <w:pPr>
        <w:spacing w:before="40" w:after="120"/>
        <w:pBdr>
          <w:bottom w:val="single" w:sz="8" w:color="2C6E9B"/>
        </w:pBdr>
      </w:pPr>
    </w:p>
    <w:p>
      <w:pPr>
        <w:pStyle w:val="Heading2"/>
      </w:pPr>
      <w:r>
        <w:t>20. Commande, compatibilité et disponibilité</w:t>
      </w:r>
    </w:p>
    <w:p>
      <w:r>
        <w:t>Le Client communique les informations nécessaires à l’identification de la pièce : immatriculation, VIN, type moteur, date de première mise en circulation, équipement et, si possible, référence de la pièce déposée. Le Garage conseille le Client selon les données communiquées, mais une référence identique ou une immatriculation ne suffit pas toujours à garantir la compatibilité sans contrôle du véhicule.</w:t>
      </w:r>
    </w:p>
    <w:p>
      <w:r>
        <w:t>La commande est définitive après acceptation du Garage et, lorsqu’il est exigé, versement de l’acompte ou mise en place de la garantie de paiement. La disponibilité annoncée dépend des stocks et confirmations des fournisseurs.</w:t>
      </w:r>
    </w:p>
    <w:p>
      <w:r>
        <w:t>Une pièce spécialement approvisionnée à la demande du Client n’est ni reprise ni échangée dans le cadre d’un achat réalisé au comptoir, sauf accord commercial du Garage ou application d’une garantie légale. Cette restriction ne supprime pas le droit légal de rétractation lorsqu’il s’applique à un contrat conclu à distance ; le seul fait qu’une pièce ait été commandée auprès d’un fournisseur ne la rend pas nécessairement personnalisée au sens de la loi.</w:t>
      </w:r>
    </w:p>
    <w:p>
      <w:pPr>
        <w:pStyle w:val="Heading2"/>
      </w:pPr>
      <w:r>
        <w:t>21. Livraison, retrait et transfert des risques</w:t>
      </w:r>
    </w:p>
    <w:p>
      <w:r>
        <w:t>Le retrait s’effectue au Garage sauf livraison expressément convenue. Le Client vérifie l’état apparent, la référence et la quantité lors de la remise et signale immédiatement toute anomalie visible.</w:t>
      </w:r>
    </w:p>
    <w:p>
      <w:r>
        <w:t>Pour un consommateur, le risque de perte ou d’endommagement est transféré lorsqu’il prend physiquement possession du bien, sous réserve des règles particulières lorsqu’il choisit lui-même un transporteur non proposé par le Garage. Pour un professionnel, les conditions de livraison et de transfert des risques sont celles du bon de commande ; à défaut, les marchandises voyagent à ses risques dès leur remise au transporteur, sans préjudice des recours contre celui-ci.</w:t>
      </w:r>
    </w:p>
    <w:p>
      <w:r>
        <w:t>Les délais indiqués sont ceux convenus sur le bon de commande. En l’absence de date ou délai convenu avec un consommateur, les règles légales de livraison s’appliquent.</w:t>
      </w:r>
    </w:p>
    <w:p>
      <w:pPr>
        <w:pStyle w:val="Heading2"/>
      </w:pPr>
      <w:r>
        <w:t>22. Réserve de propriété</w:t>
      </w:r>
    </w:p>
    <w:p>
      <w:r>
        <w:t>Le Garage conserve la propriété des pièces vendues jusqu’au paiement intégral du prix, en principal et accessoires. Cette réserve de propriété ne fait pas obstacle au transfert des risques selon les règles applicables. Le Client professionnel s’engage à identifier et conserver les biens impayés et à informer le Garage de toute saisie ou procédure collective.</w:t>
      </w:r>
    </w:p>
    <w:p>
      <w:pPr>
        <w:pStyle w:val="Heading2"/>
      </w:pPr>
      <w:r>
        <w:t>23. Garanties légales des pièces vendues aux consommateurs</w:t>
      </w:r>
    </w:p>
    <w:p>
      <w:r>
        <w:t>Le vendeur répondant des garanties légales est AH DES SOLUTIONS PROS, 150 allée de Chagneau, 33460 Arsac – 06 41 06 63 49 – adessolutionspro@gmail.com.</w:t>
      </w:r>
    </w:p>
    <w:p>
      <w:r>
        <w:t>L’encadré réglementaire reproduit à la section VI expose les modalités essentielles de la garantie légale de conformité et de la garantie des vices cachés. Ces garanties s’appliquent indépendamment de toute garantie commerciale.</w:t>
      </w:r>
    </w:p>
    <w:p>
      <w:pPr>
        <w:pStyle w:val="Heading2"/>
      </w:pPr>
      <w:r>
        <w:t>24. Retours hors garantie</w:t>
      </w:r>
    </w:p>
    <w:p>
      <w:r>
        <w:t>Pour un achat conclu dans l’établissement, aucun droit général de rétractation ou de retour n’est applicable. Hors défaut de conformité, vice caché ou accord commercial écrit, les pièces ne sont ni reprises ni échangées. Tout retour accepté à titre commercial doit porter sur une pièce complète, non montée, non endommagée, dans son emballage et avec sa preuve d’achat ; les conditions et éventuels frais de retour sont précisés lors de l’accord.</w:t>
      </w:r>
    </w:p>
    <w:p>
      <w:pPr>
        <w:pStyle w:val="Heading1"/>
      </w:pPr>
      <w:r>
        <w:t>V. CONSOMMATEURS, DISTANCE ET LITIGES</w:t>
      </w:r>
    </w:p>
    <w:p>
      <w:pPr>
        <w:spacing w:before="40" w:after="120"/>
        <w:pBdr>
          <w:bottom w:val="single" w:sz="8" w:color="2C6E9B"/>
        </w:pBdr>
      </w:pPr>
    </w:p>
    <w:p>
      <w:pPr>
        <w:pStyle w:val="Heading2"/>
      </w:pPr>
      <w:r>
        <w:t>25. Droit de rétractation pour les contrats à distance ou hors établissement</w:t>
      </w:r>
    </w:p>
    <w:p>
      <w:r>
        <w:t>Lorsqu’il est applicable, le consommateur dispose de quatorze jours pour se rétracter sans motif : à compter de la conclusion du contrat pour une prestation de services, et à compter de la prise de possession du bien pour une vente. Il peut utiliser le formulaire figurant à la section VII ou adresser toute déclaration dénuée d’ambiguïté.</w:t>
      </w:r>
    </w:p>
    <w:p>
      <w:r>
        <w:t>En cas de rétractation valable, le Garage rembourse les paiements reçus, y compris les frais de livraison standard initiaux, sans retard excessif et au plus tard quatorze jours après avoir été informé de la décision. Le remboursement est effectué par le même moyen de paiement, sauf accord exprès différent sans frais pour le consommateur. Pour une vente, le Garage peut différer le remboursement jusqu’à récupération du bien ou réception d’une preuve de son expédition, la première de ces dates étant retenue.</w:t>
      </w:r>
    </w:p>
    <w:p>
      <w:r>
        <w:t>Pour une vente, le consommateur renvoie la pièce au Garage au plus tard quatorze jours après avoir communiqué sa décision. Les frais directs de retour sont à sa charge, sauf accord contraire ou erreur imputable au Garage. Sa responsabilité peut être engagée en cas de dépréciation résultant de manipulations excédant celles nécessaires pour établir la nature, les caractéristiques et le bon fonctionnement du bien.</w:t>
      </w:r>
    </w:p>
    <w:p>
      <w:r>
        <w:t>Pour une prestation, si le consommateur demande expressément son commencement avant la fin du délai de rétractation, il reste redevable, s’il se rétracte, du montant proportionnel au service exécuté jusqu’à sa décision. Le droit de rétractation est perdu lorsque la prestation a été pleinement exécutée avant la fin du délai, après demande expresse et reconnaissance de cette perte.</w:t>
      </w:r>
    </w:p>
    <w:p>
      <w:r>
        <w:t>Le droit de rétractation ne s’applique pas notamment aux biens confectionnés selon les spécifications du consommateur ou nettement personnalisés, ni aux travaux d’entretien ou de réparation urgents expressément sollicités au domicile du consommateur, dans la limite des pièces et travaux strictement nécessaires pour répondre à l’urgence.</w:t>
      </w:r>
    </w:p>
    <w:p>
      <w:pPr>
        <w:pStyle w:val="Heading2"/>
      </w:pPr>
      <w:r>
        <w:t>26. Données personnelles</w:t>
      </w:r>
    </w:p>
    <w:p>
      <w:r>
        <w:t>Les données recueillies sont utilisées pour gérer les devis, commandes, réparations, factures, garanties, paiements, obligations comptables et relation client. Elles sont accessibles aux personnes habilitées du Garage et, lorsque nécessaire, à ses fournisseurs, assureurs, prestataires techniques, conseils et autorités légalement compétentes.</w:t>
      </w:r>
    </w:p>
    <w:p>
      <w:r>
        <w:t>Elles sont conservées pendant la durée nécessaire à la relation contractuelle puis pendant les durées légales de prescription et de conservation. Le Client peut exercer ses droits d’accès, rectification, effacement, limitation, opposition et, lorsqu’il s’applique, portabilité, en écrivant à adessolutionspro@gmail.com ou à l’adresse du Garage. Il peut saisir la CNIL.</w:t>
      </w:r>
    </w:p>
    <w:p>
      <w:pPr>
        <w:pStyle w:val="Heading2"/>
      </w:pPr>
      <w:r>
        <w:t>27. Réclamations et médiation de la consommation</w:t>
      </w:r>
    </w:p>
    <w:p>
      <w:r>
        <w:t>Toute réclamation doit d’abord être adressée par écrit à AH DES SOLUTIONS PROS, 150 allée de Chagneau, 33460 Arsac, ou à adessolutionspro@gmail.com, avec les justificatifs utiles. Le Garage s’efforce d’y répondre dans un délai raisonnable.</w:t>
      </w:r>
    </w:p>
    <w:p>
      <w:r>
        <w:t>Après réclamation écrite préalable restée sans solution, le consommateur peut saisir gratuitement le médiateur de la consommation dont relève le Garage dans l’année suivant sa réclamation, sous réserve des conditions de recevabilité.</w:t>
      </w:r>
    </w:p>
    <w:p>
      <w:r>
        <w:t>MENTION À COMPLÉTER AVANT UTILISATION : [NOM DU MÉDIATEUR CONVENTIONNÉ] – [ADRESSE POSTALE] – [SITE INTERNET / MODALITÉS DE SAISINE].</w:t>
      </w:r>
    </w:p>
    <w:p>
      <w:pPr>
        <w:pStyle w:val="Heading2"/>
      </w:pPr>
      <w:r>
        <w:t>28. Droit applicable et juridiction</w:t>
      </w:r>
    </w:p>
    <w:p>
      <w:r>
        <w:t>Les contrats sont soumis au droit français. Le consommateur peut saisir les juridictions territorialement compétentes selon les règles impératives applicables.</w:t>
      </w:r>
    </w:p>
    <w:p>
      <w:r>
        <w:t>ENTRE PROFESSIONNELS, TOUT LITIGE RELATIF À LA FORMATION, L’EXÉCUTION, L’INTERPRÉTATION OU LA RUPTURE DU CONTRAT RELÈVE DE LA COMPÉTENCE EXCLUSIVE DES TRIBUNAUX DU RESSORT DE BORDEAUX, Y COMPRIS EN CAS DE PLURALITÉ DE DÉFENDEURS OU D’APPEL EN GARANTIE, SOUS RÉSERVE DES RÈGLES IMPÉRATIVES.</w:t>
      </w:r>
    </w:p>
    <w:p>
      <w:pPr>
        <w:pStyle w:val="Heading2"/>
      </w:pPr>
      <w:r>
        <w:t>29. Divisibilité et non-renonciation</w:t>
      </w:r>
    </w:p>
    <w:p>
      <w:r>
        <w:t>Si une clause est déclarée nulle ou inapplicable, les autres stipulations demeurent en vigueur. Le fait pour le Garage de ne pas se prévaloir ponctuellement d’une clause ne vaut pas renonciation pour l’avenir.</w:t>
      </w:r>
    </w:p>
    <w:p>
      <w:r>
        <w:br w:type="page"/>
      </w:r>
    </w:p>
    <w:p>
      <w:pPr>
        <w:pStyle w:val="Heading1"/>
      </w:pPr>
      <w:r>
        <w:t>VI. ENCADRÉ RÉGLEMENTAIRE — GARANTIES LÉGALES</w:t>
      </w:r>
    </w:p>
    <w:p>
      <w:pPr>
        <w:spacing w:before="40" w:after="120"/>
        <w:pBdr>
          <w:bottom w:val="single" w:sz="8" w:color="2C6E9B"/>
        </w:pBdr>
      </w:pPr>
    </w:p>
    <w:tbl>
      <w:tblPr>
        <w:tblW w:type="auto" w:w="0"/>
        <w:jc w:val="center"/>
        <w:tblLayout w:type="autofit"/>
        <w:tblLook w:firstColumn="1" w:firstRow="1" w:lastColumn="0" w:lastRow="0" w:noHBand="0" w:noVBand="1" w:val="04A0"/>
      </w:tblPr>
      <w:tblGrid>
        <w:gridCol w:w="9866"/>
      </w:tblGrid>
      <w:tr>
        <w:trPr>
          <w:cantSplit/>
        </w:trPr>
        <w:tc>
          <w:tcPr>
            <w:tcW w:type="dxa" w:w="9866"/>
            <w:shd w:fill="F4F7F9"/>
            <w:tcBorders>
              <w:top w:val="single" w:sz="10" w:color="17324D"/>
              <w:left w:val="single" w:sz="10" w:color="17324D"/>
              <w:bottom w:val="single" w:sz="10" w:color="17324D"/>
              <w:right w:val="single" w:sz="10" w:color="17324D"/>
            </w:tcBorders>
            <w:vAlign w:val="center"/>
          </w:tcPr>
          <w:p>
            <w:pPr>
              <w:spacing w:after="60"/>
            </w:pPr>
            <w:r>
              <w:rPr>
                <w:rFonts w:ascii="Aptos" w:hAnsi="Aptos"/>
                <w:b/>
                <w:color w:val="17324D"/>
                <w:sz w:val="17"/>
              </w:rPr>
              <w:t>GARANTIE LÉGALE DE CONFORMITÉ — VENTE DE BIENS AUX CONSOMMATEURS</w:t>
            </w:r>
          </w:p>
          <w:p>
            <w:pPr>
              <w:spacing w:after="20"/>
            </w:pPr>
            <w:r>
              <w:rPr>
                <w:rFonts w:ascii="Aptos" w:hAnsi="Aptos"/>
                <w:sz w:val="17"/>
              </w:rPr>
              <w:t>Le consommateur dispose d’un délai de deux ans à compter de la délivrance du bien pour obtenir la mise en œuvre de la garantie légale de conformité en cas d’apparition d’un défaut de conformité. Durant ce délai, le consommateur n’est tenu d’établir que l’existence du défaut de conformité et non la date d’apparition de celui-ci.</w:t>
              <w:br/>
              <w:br/>
              <w:t>Lorsque le contrat de vente du bien prévoit la fourniture d’un contenu numérique ou d’un service numérique de manière continue pendant une durée supérieure à deux ans, la garantie légale est applicable à ce contenu numérique ou ce service numérique tout au long de la période de fourniture prévue. Durant ce délai, le consommateur n’est tenu d’établir que l’existence du défaut de conformité affectant le contenu numérique ou le service numérique et non la date d’apparition de celui-ci.</w:t>
              <w:br/>
              <w:br/>
              <w:t>La garantie légale de conformité emporte obligation pour le professionnel, le cas échéant, de fournir toutes les mises à jour nécessaires au maintien de la conformité du bien.</w:t>
              <w:br/>
              <w:br/>
              <w:t>La garantie légale de conformité donne au consommateur droit à la réparation ou au remplacement du bien dans un délai de trente jours suivant sa demande, sans frais et sans inconvénient majeur pour lui.</w:t>
              <w:br/>
              <w:br/>
              <w:t>Si le bien est réparé dans le cadre de la garantie légale de conformité, le consommateur bénéficie d’une extension de six mois de la garantie initiale.</w:t>
              <w:br/>
              <w:br/>
              <w:t>Si le consommateur demande la réparation du bien, mais que le vendeur impose le remplacement, la garantie légale de conformité est renouvelée pour une période de deux ans à compter de la date de remplacement du bien.</w:t>
              <w:br/>
              <w:br/>
              <w:t>Le consommateur peut obtenir une réduction du prix d’achat en conservant le bien ou mettre fin au contrat en se faisant rembourser intégralement contre restitution du bien, si :</w:t>
              <w:br/>
              <w:t>1° Le professionnel refuse de réparer ou de remplacer le bien ;</w:t>
              <w:br/>
              <w:t>2° La réparation ou le remplacement du bien intervient après un délai de trente jours ;</w:t>
              <w:br/>
              <w:t>3° La réparation ou le remplacement du bien occasionne un inconvénient majeur pour le consommateur, notamment lorsque le consommateur supporte définitivement les frais de reprise ou d’enlèvement du bien non conforme, ou s’il supporte les frais d’installation du bien réparé ou de remplacement ;</w:t>
              <w:br/>
              <w:t>4° La non-conformité du bien persiste en dépit de la tentative de mise en conformité du vendeur restée infructueuse.</w:t>
              <w:br/>
              <w:br/>
              <w:t>Le consommateur a également droit à une réduction du prix du bien ou à la résolution du contrat lorsque le défaut de conformité est si grave qu’il justifie que la réduction du prix ou la résolution du contrat soit immédiate. Le consommateur n’est alors pas tenu de demander la réparation ou le remplacement du bien au préalable.</w:t>
              <w:br/>
              <w:br/>
              <w:t>Le consommateur n’a pas droit à la résolution de la vente si le défaut de conformité est mineur.</w:t>
              <w:br/>
              <w:br/>
              <w:t>Toute période d’immobilisation du bien en vue de sa réparation ou de son remplacement suspend la garantie qui restait à courir jusqu’à la délivrance du bien remis en état.</w:t>
              <w:br/>
              <w:br/>
              <w:t>Ces droits résultent de l’application des articles L. 217-1 à L. 217-32 du Code de la consommation. Le vendeur qui fait obstacle de mauvaise foi à la mise en œuvre de la garantie légale de conformité encourt une amende civile d’un montant maximal de 300 000 euros, qui peut être porté jusqu’à 10 % du chiffre d’affaires moyen annuel (article L. 241-5 du Code de la consommation).</w:t>
              <w:br/>
              <w:br/>
              <w:t>Le consommateur bénéficie également de la garantie légale des vices cachés en application des articles 1641 à 1649 du Code civil, pendant deux ans à compter de la découverte du défaut. Cette garantie donne droit à une réduction du prix si le bien est conservé ou à un remboursement intégral contre restitution du bien.</w:t>
            </w:r>
          </w:p>
        </w:tc>
      </w:tr>
    </w:tbl>
    <w:p>
      <w:r>
        <w:rPr>
          <w:b/>
        </w:rPr>
        <w:t>Vendeur répondant des garanties : AH DES SOLUTIONS PROS – 150 allée de Chagneau, 33460 Arsac – 06 41 06 63 49 – adessolutionspro@gmail.com.</w:t>
      </w:r>
    </w:p>
    <w:p>
      <w:r>
        <w:br w:type="page"/>
      </w:r>
    </w:p>
    <w:p>
      <w:pPr>
        <w:pStyle w:val="Heading1"/>
      </w:pPr>
      <w:r>
        <w:t>VII. FORMULAIRE TYPE DE RÉTRACTATION</w:t>
      </w:r>
    </w:p>
    <w:p>
      <w:pPr>
        <w:spacing w:before="40" w:after="120"/>
        <w:pBdr>
          <w:bottom w:val="single" w:sz="8" w:color="2C6E9B"/>
        </w:pBdr>
      </w:pPr>
    </w:p>
    <w:p>
      <w:r>
        <w:t>(À compléter et renvoyer uniquement si vous souhaitez vous rétracter d’un contrat conclu à distance ou hors établissement, lorsque ce droit est applicable.)</w:t>
      </w:r>
    </w:p>
    <w:tbl>
      <w:tblPr>
        <w:tblW w:type="auto" w:w="0"/>
        <w:jc w:val="center"/>
        <w:tblLayout w:type="autofit"/>
        <w:tblLook w:firstColumn="1" w:firstRow="1" w:lastColumn="0" w:lastRow="0" w:noHBand="0" w:noVBand="1" w:val="04A0"/>
      </w:tblPr>
      <w:tblGrid>
        <w:gridCol w:w="9866"/>
      </w:tblGrid>
      <w:tr>
        <w:trPr>
          <w:cantSplit/>
        </w:trPr>
        <w:tc>
          <w:tcPr>
            <w:tcW w:type="dxa" w:w="9866"/>
            <w:shd w:fill="EAF1F6"/>
            <w:tcBorders>
              <w:top w:val="single" w:sz="10" w:color="17324D"/>
              <w:left w:val="single" w:sz="10" w:color="17324D"/>
              <w:bottom w:val="single" w:sz="10" w:color="17324D"/>
              <w:right w:val="single" w:sz="10" w:color="17324D"/>
            </w:tcBorders>
            <w:vAlign w:val="center"/>
          </w:tcPr>
          <w:p>
            <w:pPr>
              <w:spacing w:after="60"/>
            </w:pPr>
            <w:r>
              <w:rPr>
                <w:rFonts w:ascii="Aptos" w:hAnsi="Aptos"/>
                <w:b/>
                <w:color w:val="17324D"/>
                <w:sz w:val="17"/>
              </w:rPr>
              <w:t>DESTINATAIRE</w:t>
            </w:r>
          </w:p>
          <w:p>
            <w:pPr>
              <w:spacing w:after="20"/>
            </w:pPr>
            <w:r>
              <w:rPr>
                <w:rFonts w:ascii="Aptos" w:hAnsi="Aptos"/>
                <w:sz w:val="17"/>
              </w:rPr>
              <w:t>AH DES SOLUTIONS PROS</w:t>
              <w:br/>
              <w:t>150 allée de Chagneau – 33460 Arsac</w:t>
              <w:br/>
              <w:t>adessolutionspro@gmail.com</w:t>
            </w:r>
          </w:p>
        </w:tc>
      </w:tr>
    </w:tbl>
    <w:p>
      <w:r>
        <w:t>Je / Nous (*) vous notifie / notifions (*) par la présente ma / notre (*) rétractation du contrat portant sur :</w:t>
      </w:r>
    </w:p>
    <w:p>
      <w:pPr>
        <w:spacing w:before="160"/>
      </w:pPr>
      <w:r>
        <w:rPr>
          <w:b/>
        </w:rPr>
        <w:t>la vente du bien / la prestation de services (*) :</w:t>
      </w:r>
    </w:p>
    <w:p>
      <w:pPr>
        <w:spacing w:after="80"/>
      </w:pPr>
      <w:r>
        <w:rPr>
          <w:color w:val="9AA7B1"/>
        </w:rPr>
        <w:t>________________________________________________________________________________</w:t>
      </w:r>
    </w:p>
    <w:p>
      <w:pPr>
        <w:spacing w:before="160"/>
      </w:pPr>
      <w:r>
        <w:rPr>
          <w:b/>
        </w:rPr>
        <w:t>commandé(e) le (*) / reçu(e) le (*) :</w:t>
      </w:r>
    </w:p>
    <w:p>
      <w:pPr>
        <w:spacing w:after="80"/>
      </w:pPr>
      <w:r>
        <w:rPr>
          <w:color w:val="9AA7B1"/>
        </w:rPr>
        <w:t>________________________________________________________________________________</w:t>
      </w:r>
    </w:p>
    <w:p>
      <w:pPr>
        <w:spacing w:before="160"/>
      </w:pPr>
      <w:r>
        <w:rPr>
          <w:b/>
        </w:rPr>
        <w:t>nom du (des) consommateur(s) :</w:t>
      </w:r>
    </w:p>
    <w:p>
      <w:pPr>
        <w:spacing w:after="80"/>
      </w:pPr>
      <w:r>
        <w:rPr>
          <w:color w:val="9AA7B1"/>
        </w:rPr>
        <w:t>________________________________________________________________________________</w:t>
      </w:r>
    </w:p>
    <w:p>
      <w:pPr>
        <w:spacing w:before="160"/>
      </w:pPr>
      <w:r>
        <w:rPr>
          <w:b/>
        </w:rPr>
        <w:t>adresse du (des) consommateur(s) :</w:t>
      </w:r>
    </w:p>
    <w:p>
      <w:pPr>
        <w:spacing w:after="80"/>
      </w:pPr>
      <w:r>
        <w:rPr>
          <w:color w:val="9AA7B1"/>
        </w:rPr>
        <w:t>________________________________________________________________________________</w:t>
      </w:r>
    </w:p>
    <w:p>
      <w:pPr>
        <w:spacing w:before="160"/>
      </w:pPr>
      <w:r>
        <w:rPr>
          <w:b/>
        </w:rPr>
        <w:t>date :</w:t>
      </w:r>
    </w:p>
    <w:p>
      <w:pPr>
        <w:spacing w:after="80"/>
      </w:pPr>
      <w:r>
        <w:rPr>
          <w:color w:val="9AA7B1"/>
        </w:rPr>
        <w:t>________________________________________________________________________________</w:t>
      </w:r>
    </w:p>
    <w:p>
      <w:pPr>
        <w:spacing w:before="160"/>
      </w:pPr>
      <w:r>
        <w:rPr>
          <w:b/>
        </w:rPr>
        <w:t>signature du (des) consommateur(s), uniquement en cas de formulaire papier :</w:t>
      </w:r>
    </w:p>
    <w:p>
      <w:pPr>
        <w:spacing w:after="80"/>
      </w:pPr>
      <w:r>
        <w:rPr>
          <w:color w:val="9AA7B1"/>
        </w:rPr>
        <w:t>________________________________________________________________________________</w:t>
      </w:r>
    </w:p>
    <w:p>
      <w:r>
        <w:t>(*) Rayez la mention inutile.</w:t>
      </w:r>
    </w:p>
    <w:p>
      <w:pPr>
        <w:pStyle w:val="Heading2"/>
      </w:pPr>
      <w:r>
        <w:t>Demande expresse de commencement anticipé d’une prestation</w:t>
      </w:r>
    </w:p>
    <w:p>
      <w:r>
        <w:t>À utiliser lorsqu’un consommateur demande que la prestation commence avant l’expiration du délai de rétractation de quatorze jours :</w:t>
      </w:r>
    </w:p>
    <w:tbl>
      <w:tblPr>
        <w:tblW w:type="auto" w:w="0"/>
        <w:jc w:val="center"/>
        <w:tblLayout w:type="autofit"/>
        <w:tblLook w:firstColumn="1" w:firstRow="1" w:lastColumn="0" w:lastRow="0" w:noHBand="0" w:noVBand="1" w:val="04A0"/>
      </w:tblPr>
      <w:tblGrid>
        <w:gridCol w:w="9866"/>
      </w:tblGrid>
      <w:tr>
        <w:trPr>
          <w:cantSplit/>
        </w:trPr>
        <w:tc>
          <w:tcPr>
            <w:tcW w:type="dxa" w:w="9866"/>
            <w:shd w:fill="F4F7F9"/>
            <w:tcBorders>
              <w:top w:val="single" w:sz="10" w:color="2C6E9B"/>
              <w:left w:val="single" w:sz="10" w:color="2C6E9B"/>
              <w:bottom w:val="single" w:sz="10" w:color="2C6E9B"/>
              <w:right w:val="single" w:sz="10" w:color="2C6E9B"/>
            </w:tcBorders>
            <w:vAlign w:val="center"/>
          </w:tcPr>
          <w:p>
            <w:pPr>
              <w:spacing w:after="60"/>
            </w:pPr>
            <w:r>
              <w:rPr>
                <w:rFonts w:ascii="Aptos" w:hAnsi="Aptos"/>
                <w:b/>
                <w:color w:val="2C6E9B"/>
                <w:sz w:val="17"/>
              </w:rPr>
              <w:t>CONSENTEMENT EXPRESS</w:t>
            </w:r>
          </w:p>
          <w:p>
            <w:pPr>
              <w:spacing w:after="20"/>
            </w:pPr>
            <w:r>
              <w:rPr>
                <w:rFonts w:ascii="Aptos" w:hAnsi="Aptos"/>
                <w:sz w:val="17"/>
              </w:rPr>
              <w:t>Je demande expressément à AH DES SOLUTIONS PROS de commencer la prestation avant l’expiration du délai légal de rétractation. Je reconnais qu’en cas de rétractation après le commencement de l’exécution, je devrai payer le montant proportionnel aux prestations déjà réalisées. Je reconnais perdre mon droit de rétractation si la prestation est pleinement exécutée avant la fin du délai, après mon accord exprès.</w:t>
            </w:r>
          </w:p>
        </w:tc>
      </w:tr>
    </w:tbl>
    <w:p>
      <w:r>
        <w:t>Nom : ____________________________________    Date : __________________</w:t>
      </w:r>
    </w:p>
    <w:p>
      <w:r>
        <w:t>Signature précédée de la mention « Lu et approuvé » :</w:t>
      </w:r>
    </w:p>
    <w:p>
      <w:r>
        <w:br/>
        <w:br/>
        <w:t>________________________________________</w:t>
      </w:r>
    </w:p>
    <w:p>
      <w:r>
        <w:br w:type="page"/>
      </w:r>
    </w:p>
    <w:p>
      <w:pPr>
        <w:pStyle w:val="Heading1"/>
      </w:pPr>
      <w:r>
        <w:t>VIII. ACCUSÉ DE REMISE ET D’ACCEPTATION</w:t>
      </w:r>
    </w:p>
    <w:p>
      <w:pPr>
        <w:spacing w:before="40" w:after="120"/>
        <w:pBdr>
          <w:bottom w:val="single" w:sz="8" w:color="2C6E9B"/>
        </w:pBdr>
      </w:pPr>
    </w:p>
    <w:p>
      <w:r>
        <w:t>Ce cadre peut être utilisé lorsque les CGV-CGR sont remises sur papier. Pour une acceptation électronique, conserver la preuve de la version transmise et de l’accord du Client.</w:t>
      </w:r>
    </w:p>
    <w:tbl>
      <w:tblPr>
        <w:tblW w:type="auto" w:w="0"/>
        <w:jc w:val="center"/>
        <w:tblLook w:firstColumn="1" w:firstRow="1" w:lastColumn="0" w:lastRow="0" w:noHBand="0" w:noVBand="1" w:val="04A0"/>
      </w:tblPr>
      <w:tblGrid>
        <w:gridCol w:w="4933"/>
        <w:gridCol w:w="4933"/>
      </w:tblGrid>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Client / Société</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Adresse</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Téléphone / courriel</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Véhicule / immatriculation</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Document associé</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t>□ Devis    □ Ordre de réparation    □ Bon de commande</w:t>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Référence / date</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CGV-CGR remises</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t>Version 2 du 28 août 2026</w:t>
            </w:r>
          </w:p>
        </w:tc>
      </w:tr>
      <w:tr>
        <w:trPr>
          <w:cantSplit/>
        </w:trPr>
        <w:tc>
          <w:tcPr>
            <w:tcW w:type="dxa" w:w="4933"/>
            <w:shd w:fill="EAF1F6"/>
            <w:tcBorders>
              <w:top w:val="single" w:sz="4" w:color="B7C5CF"/>
              <w:left w:val="single" w:sz="4" w:color="B7C5CF"/>
              <w:bottom w:val="single" w:sz="4" w:color="B7C5CF"/>
              <w:right w:val="single" w:sz="4" w:color="B7C5CF"/>
            </w:tcBorders>
            <w:vAlign w:val="center"/>
          </w:tcPr>
          <w:p>
            <w:r>
              <w:rPr>
                <w:rFonts w:ascii="Aptos" w:hAnsi="Aptos"/>
                <w:b/>
                <w:sz w:val="17"/>
              </w:rPr>
              <w:t>Qualité du signataire</w:t>
            </w:r>
          </w:p>
        </w:tc>
        <w:tc>
          <w:tcPr>
            <w:tcW w:type="dxa" w:w="4933"/>
            <w:tcBorders>
              <w:top w:val="single" w:sz="4" w:color="B7C5CF"/>
              <w:left w:val="single" w:sz="4" w:color="B7C5CF"/>
              <w:bottom w:val="single" w:sz="4" w:color="B7C5CF"/>
              <w:right w:val="single" w:sz="4" w:color="B7C5CF"/>
            </w:tcBorders>
            <w:vAlign w:val="center"/>
          </w:tcPr>
          <w:p>
            <w:r>
              <w:rPr>
                <w:rFonts w:ascii="Aptos" w:hAnsi="Aptos"/>
                <w:sz w:val="17"/>
              </w:rPr>
              <w:t>□ Consommateur    □ Professionnel</w:t>
            </w:r>
          </w:p>
        </w:tc>
      </w:tr>
    </w:tbl>
    <w:p/>
    <w:tbl>
      <w:tblPr>
        <w:tblW w:type="auto" w:w="0"/>
        <w:jc w:val="center"/>
        <w:tblLayout w:type="autofit"/>
        <w:tblLook w:firstColumn="1" w:firstRow="1" w:lastColumn="0" w:lastRow="0" w:noHBand="0" w:noVBand="1" w:val="04A0"/>
      </w:tblPr>
      <w:tblGrid>
        <w:gridCol w:w="9866"/>
      </w:tblGrid>
      <w:tr>
        <w:trPr>
          <w:cantSplit/>
        </w:trPr>
        <w:tc>
          <w:tcPr>
            <w:tcW w:type="dxa" w:w="9866"/>
            <w:shd w:fill="F4F7F9"/>
            <w:tcBorders>
              <w:top w:val="single" w:sz="10" w:color="17324D"/>
              <w:left w:val="single" w:sz="10" w:color="17324D"/>
              <w:bottom w:val="single" w:sz="10" w:color="17324D"/>
              <w:right w:val="single" w:sz="10" w:color="17324D"/>
            </w:tcBorders>
            <w:vAlign w:val="center"/>
          </w:tcPr>
          <w:p>
            <w:pPr>
              <w:spacing w:after="60"/>
            </w:pPr>
            <w:r>
              <w:rPr>
                <w:rFonts w:ascii="Aptos" w:hAnsi="Aptos"/>
                <w:b/>
                <w:color w:val="17324D"/>
                <w:sz w:val="17"/>
              </w:rPr>
              <w:t>ACCEPTATION</w:t>
            </w:r>
          </w:p>
          <w:p>
            <w:pPr>
              <w:spacing w:after="20"/>
            </w:pPr>
            <w:r>
              <w:rPr>
                <w:rFonts w:ascii="Aptos" w:hAnsi="Aptos"/>
                <w:sz w:val="17"/>
              </w:rPr>
              <w:t>Je reconnais avoir reçu et pris connaissance des présentes CGV-CGR avant de m’engager. J’accepte notamment les conditions relatives aux diagnostics T1 et T2, aux démontages autorisés, au paiement comptant, à la préautorisation bancaire éventuelle, aux pièces fournies par le client, au délai de retrait de sept jours et aux frais de gardiennage.</w:t>
            </w:r>
          </w:p>
        </w:tc>
      </w:tr>
    </w:tbl>
    <w:p>
      <w:r>
        <w:t>Fait à : _______________________________    Le : _______________________________</w:t>
      </w:r>
    </w:p>
    <w:p>
      <w:r>
        <w:t>Nom et signature du Client, précédés de la mention « Lu et approuvé » :</w:t>
      </w:r>
    </w:p>
    <w:p>
      <w:r>
        <w:br/>
        <w:br/>
        <w:br/>
        <w:t>________________________________________</w:t>
      </w:r>
    </w:p>
    <w:p/>
    <w:tbl>
      <w:tblPr>
        <w:tblW w:type="auto" w:w="0"/>
        <w:jc w:val="center"/>
        <w:tblLayout w:type="autofit"/>
        <w:tblLook w:firstColumn="1" w:firstRow="1" w:lastColumn="0" w:lastRow="0" w:noHBand="0" w:noVBand="1" w:val="04A0"/>
      </w:tblPr>
      <w:tblGrid>
        <w:gridCol w:w="9866"/>
      </w:tblGrid>
      <w:tr>
        <w:trPr>
          <w:cantSplit/>
        </w:trPr>
        <w:tc>
          <w:tcPr>
            <w:tcW w:type="dxa" w:w="9866"/>
            <w:shd w:fill="FBEAEA"/>
            <w:tcBorders>
              <w:top w:val="single" w:sz="10" w:color="B33A3A"/>
              <w:left w:val="single" w:sz="10" w:color="B33A3A"/>
              <w:bottom w:val="single" w:sz="10" w:color="B33A3A"/>
              <w:right w:val="single" w:sz="10" w:color="B33A3A"/>
            </w:tcBorders>
            <w:vAlign w:val="center"/>
          </w:tcPr>
          <w:p>
            <w:pPr>
              <w:spacing w:after="60"/>
            </w:pPr>
            <w:r>
              <w:rPr>
                <w:rFonts w:ascii="Aptos" w:hAnsi="Aptos"/>
                <w:b/>
                <w:color w:val="B33A3A"/>
                <w:sz w:val="17"/>
              </w:rPr>
              <w:t>POINT À FINALISER AVANT DIFFUSION</w:t>
            </w:r>
          </w:p>
          <w:p>
            <w:pPr>
              <w:spacing w:after="20"/>
            </w:pPr>
            <w:r>
              <w:rPr>
                <w:rFonts w:ascii="Aptos" w:hAnsi="Aptos"/>
                <w:sz w:val="17"/>
              </w:rPr>
              <w:t>Adhérer à un médiateur de la consommation référencé, puis compléter l’article 27 avec son nom, son adresse et son site de saisine. Reporter ensuite ces coordonnées sur les devis, ordres de réparation, factures et, le cas échéant, le site internet.</w:t>
            </w:r>
          </w:p>
        </w:tc>
      </w:tr>
    </w:tbl>
    <w:sectPr w:rsidR="00FC693F" w:rsidRPr="0006063C" w:rsidSect="00034616">
      <w:headerReference w:type="default" r:id="rId9"/>
      <w:footerReference w:type="default" r:id="rId10"/>
      <w:pgSz w:w="11906" w:h="16838"/>
      <w:pgMar w:top="935"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3402"/>
      <w:gridCol w:w="3061"/>
      <w:gridCol w:w="3402"/>
    </w:tblGrid>
    <w:tr>
      <w:tc>
        <w:tcPr>
          <w:tcW w:type="dxa" w:w="3288"/>
        </w:tcPr>
        <w:p>
          <w:pPr>
            <w:jc w:val="left"/>
          </w:pPr>
          <w:r>
            <w:rPr>
              <w:color w:val="5D6973"/>
              <w:sz w:val="14"/>
            </w:rPr>
            <w:t>Version 2 du 28 août 2026</w:t>
          </w:r>
        </w:p>
      </w:tc>
      <w:tc>
        <w:tcPr>
          <w:tcW w:type="dxa" w:w="3288"/>
        </w:tcPr>
        <w:p>
          <w:pPr>
            <w:jc w:val="center"/>
          </w:pPr>
          <w:r>
            <w:rPr>
              <w:color w:val="5D6973"/>
              <w:sz w:val="14"/>
            </w:rPr>
            <w:t>AH DES SOLUTIONS PROS</w:t>
          </w:r>
        </w:p>
      </w:tc>
      <w:tc>
        <w:tcPr>
          <w:tcW w:type="dxa" w:w="3288"/>
        </w:tcPr>
        <w:p>
          <w:pPr>
            <w:jc w:val="right"/>
          </w:pPr>
          <w:r>
            <w:rPr>
              <w:color w:val="5D6973"/>
              <w:sz w:val="14"/>
            </w:rPr>
          </w:r>
          <w: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D6973"/>
        <w:sz w:val="15"/>
      </w:rPr>
      <w:t>AH DES SOLUTIONS PROS  |  CONDITIONS GÉNÉRALES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27323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2C6E9B"/>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w:hAnsi="Aptos"/>
      <w:b/>
      <w:bCs/>
      <w:color w:val="17324D"/>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7324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spacing w:after="100"/>
      <w:ind w:left="198" w:hanging="198"/>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et de réparation – AH DES SOLUTIONS PROS</dc:title>
  <dc:subject>Vente de pièces détachées automobiles et réparation de véhicules légers</dc:subject>
  <dc:creator>AH DES SOLUTIONS PROS</dc:creator>
  <cp:keywords/>
  <dc:description>Version 2 du 28 août 2026</dc:description>
  <cp:lastModifiedBy/>
  <cp:revision>1</cp:revision>
  <dcterms:created xsi:type="dcterms:W3CDTF">2013-12-23T23:15:00Z</dcterms:created>
  <dcterms:modified xsi:type="dcterms:W3CDTF">2013-12-23T23:15:00Z</dcterms:modified>
  <cp:category/>
</cp:coreProperties>
</file>